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047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645"/>
        <w:jc w:val="both"/>
        <w:textAlignment w:val="baseline"/>
      </w:pPr>
      <w:r>
        <w:rPr>
          <w:rFonts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根据《中华人民共和国政府信息公开条例》规定，编制本报告，报告各类数据统计时限从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202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4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年1月1日至202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4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年12月31日止。</w:t>
      </w:r>
    </w:p>
    <w:p w14:paraId="5C05392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645"/>
        <w:jc w:val="both"/>
        <w:textAlignment w:val="baseline"/>
      </w:pPr>
      <w:r>
        <w:rPr>
          <w:rStyle w:val="5"/>
          <w:rFonts w:ascii="仿宋" w:hAnsi="仿宋" w:eastAsia="仿宋" w:cs="仿宋"/>
          <w:color w:val="333333"/>
          <w:spacing w:val="0"/>
          <w:sz w:val="31"/>
          <w:szCs w:val="31"/>
          <w:shd w:val="clear" w:fill="FFFFFF"/>
          <w:vertAlign w:val="baseline"/>
        </w:rPr>
        <w:t>一、总体情况</w:t>
      </w:r>
    </w:p>
    <w:p w14:paraId="1B5F64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645"/>
        <w:jc w:val="both"/>
        <w:textAlignment w:val="baseline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202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4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年，西藏自治区林业和草原局在自治区党委、政府的正确带领下，</w:t>
      </w:r>
      <w:r>
        <w:rPr>
          <w:rFonts w:hint="default" w:ascii="仿宋_GB2312" w:eastAsia="仿宋_GB2312" w:cs="仿宋_GB2312"/>
          <w:sz w:val="31"/>
          <w:szCs w:val="31"/>
          <w:shd w:val="clear" w:fill="FFFFFF"/>
          <w:vertAlign w:val="baseline"/>
        </w:rPr>
        <w:t>坚持以习近平新时代中国特色社会主义思想为指导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，全面贯彻党的二十大精神和习近平总书记重要指示批示精神，深入贯彻落实区党委、政府关于全面推进政务公开和政府信息公开工作的系列决策部署，按照《中华人民共和国政府信息公开条例》和自治区党委办公厅相关工作部署，坚持以“公开为常态、不公开为例外”为原则，紧紧围绕党委、政府中心工作，按照规范化服务型政府建设的整体要求。结合林草局工作实际，突出重点，紧扣宏观政策落地见效，紧扣基层政务公开，紧扣政府信息公开条例实施，扎实有效推进政府信息公开工作，提升政务公开质量实效，充分发挥了政务公开在转变政府职能、提升政府治理方面的促进作用。</w:t>
      </w:r>
    </w:p>
    <w:p w14:paraId="5CEA669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645"/>
        <w:jc w:val="both"/>
        <w:textAlignment w:val="baseline"/>
      </w:pPr>
      <w:r>
        <w:rPr>
          <w:rFonts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(一)信息公开方面</w:t>
      </w:r>
    </w:p>
    <w:p w14:paraId="2180E4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645"/>
        <w:jc w:val="both"/>
        <w:textAlignment w:val="baseline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按照《条例》要求，我局认真对政务产生的信息进行收集，按照“公开是原则，不公开是例外”的要求，及时发布日常工作动态和工作文件，改进工作作风，方便群众办事和监督。202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4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年度我局主动公开信息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1396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条，其中网站公开政府信息1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054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条，微信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eastAsia="zh-CN"/>
        </w:rPr>
        <w:t>、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抖音等平台公开政府信息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342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条。</w:t>
      </w:r>
    </w:p>
    <w:p w14:paraId="1D0014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 (二)信息管理方面</w:t>
      </w:r>
    </w:p>
    <w:p w14:paraId="78B108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宋体" w:hAnsi="宋体" w:eastAsia="宋体" w:cs="宋体"/>
          <w:color w:val="333333"/>
          <w:spacing w:val="0"/>
          <w:sz w:val="31"/>
          <w:szCs w:val="31"/>
          <w:shd w:val="clear" w:fill="FFFFFF"/>
          <w:vertAlign w:val="baseline"/>
        </w:rPr>
        <w:t> 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按照《政府信息公开工作条例》要求，结合工作实际，进一步完善《西藏自治区林业和草原局政府信息公开指南》，按照“制作、审核、公开、建档、留存”等程序，建立起以各处室提供信息，处室负责人把关、信息中心汇总收集、领导小组审查的信息公开责任机制，明确任务、明确责任、不断提高工作质量。</w:t>
      </w:r>
    </w:p>
    <w:p w14:paraId="749C96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(三)平台建设方面</w:t>
      </w:r>
    </w:p>
    <w:p w14:paraId="3E9A04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宋体" w:hAnsi="宋体" w:eastAsia="宋体" w:cs="宋体"/>
          <w:color w:val="333333"/>
          <w:spacing w:val="0"/>
          <w:sz w:val="31"/>
          <w:szCs w:val="31"/>
          <w:shd w:val="clear" w:fill="FFFFFF"/>
          <w:vertAlign w:val="baseline"/>
        </w:rPr>
        <w:t> 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在主动公开中，进一步创新思路，完善公开载体。在本单位门户网站公开形式的基础上，利用微信、微博等政务公开的新载体、新形式，提高政务公开的广度和深度，增强公开效果。对本单位门户网站进行全面改版升级，重点突出林草信息、政务公开、在线服务等专栏，充分发挥传统媒体在政府信息公开中的作用。</w:t>
      </w:r>
    </w:p>
    <w:p w14:paraId="69EB4F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(四)监督保障方面</w:t>
      </w:r>
    </w:p>
    <w:p w14:paraId="5237FF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宋体" w:hAnsi="宋体" w:eastAsia="宋体" w:cs="宋体"/>
          <w:color w:val="333333"/>
          <w:spacing w:val="0"/>
          <w:sz w:val="31"/>
          <w:szCs w:val="31"/>
          <w:shd w:val="clear" w:fill="FFFFFF"/>
          <w:vertAlign w:val="baseline"/>
        </w:rPr>
        <w:t> 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明确规定公开内容、公开形式、公开时限和公开监督，就信息公开目录逐条明确信息提供责任处室，做到有章可循、有据可查、有人负责、有人监督。对应该让社会广泛知晓或参与的事情，及时主动向社会公开，严格把控不应公开事项的范围，确保“涉密信息不公开，公开信息不涉密”。同时，制定严密的工作方案，细化工作责任，落实责任主体，把握工作要求，确保工作质量。</w:t>
      </w:r>
    </w:p>
    <w:p w14:paraId="1DD094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 (五)机构建设方面</w:t>
      </w:r>
    </w:p>
    <w:p w14:paraId="341D20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 w:line="555" w:lineRule="atLeast"/>
        <w:ind w:left="0" w:right="0" w:firstLine="420"/>
        <w:jc w:val="both"/>
        <w:textAlignment w:val="baseline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为加强对政务信息公开及数据安全管理的组织领导，公开工作机构设在局机关办公室，明确一名负责人，两名具体工作人员。</w:t>
      </w:r>
    </w:p>
    <w:p w14:paraId="17F861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360"/>
      </w:pPr>
      <w:r>
        <w:rPr>
          <w:rStyle w:val="5"/>
          <w:rFonts w:hint="eastAsia" w:ascii="仿宋" w:hAnsi="仿宋" w:eastAsia="仿宋" w:cs="仿宋"/>
          <w:color w:val="333333"/>
          <w:sz w:val="31"/>
          <w:szCs w:val="31"/>
          <w:shd w:val="clear" w:fill="FFFFFF"/>
        </w:rPr>
        <w:t>二、主动公开政府信息情况</w:t>
      </w:r>
      <w:r>
        <w:rPr>
          <w:rStyle w:val="5"/>
          <w:rFonts w:hint="eastAsia" w:ascii="仿宋" w:hAnsi="仿宋" w:eastAsia="仿宋" w:cs="仿宋"/>
          <w:sz w:val="31"/>
          <w:szCs w:val="31"/>
        </w:rPr>
        <w:t>   </w:t>
      </w:r>
      <w:r>
        <w:rPr>
          <w:rFonts w:ascii="Calibri" w:hAnsi="Calibri" w:cs="Calibri"/>
          <w:sz w:val="31"/>
          <w:szCs w:val="31"/>
        </w:rPr>
        <w:t>                          </w:t>
      </w:r>
      <w:r>
        <w:rPr>
          <w:rFonts w:hint="default" w:ascii="Calibri" w:hAnsi="Calibri" w:cs="Calibri"/>
          <w:sz w:val="24"/>
          <w:szCs w:val="24"/>
        </w:rPr>
        <w:t>                                                                </w:t>
      </w:r>
    </w:p>
    <w:tbl>
      <w:tblPr>
        <w:tblStyle w:val="3"/>
        <w:tblW w:w="94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85"/>
        <w:gridCol w:w="2302"/>
        <w:gridCol w:w="2302"/>
        <w:gridCol w:w="2516"/>
      </w:tblGrid>
      <w:tr w14:paraId="441E4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8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166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第二十条第（一）项</w:t>
            </w:r>
          </w:p>
        </w:tc>
      </w:tr>
      <w:tr w14:paraId="6245E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271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210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3CE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本年制发件数</w:t>
            </w:r>
          </w:p>
        </w:tc>
        <w:tc>
          <w:tcPr>
            <w:tcW w:w="210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10E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本年废止件数</w:t>
            </w:r>
          </w:p>
        </w:tc>
        <w:tc>
          <w:tcPr>
            <w:tcW w:w="1860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74C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现行有效件数</w:t>
            </w:r>
          </w:p>
        </w:tc>
      </w:tr>
      <w:tr w14:paraId="011AD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079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规章</w:t>
            </w:r>
          </w:p>
        </w:tc>
        <w:tc>
          <w:tcPr>
            <w:tcW w:w="210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10C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10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65B4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86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457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1</w:t>
            </w:r>
            <w:r>
              <w:rPr>
                <w:rFonts w:hint="eastAsia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  <w:t>4</w:t>
            </w:r>
          </w:p>
        </w:tc>
      </w:tr>
      <w:tr w14:paraId="09FAF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0C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行政规范性文件</w:t>
            </w:r>
          </w:p>
        </w:tc>
        <w:tc>
          <w:tcPr>
            <w:tcW w:w="210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782F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210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BA72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86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49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  <w:t>91</w:t>
            </w:r>
          </w:p>
        </w:tc>
      </w:tr>
      <w:tr w14:paraId="32CA6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80" w:type="dxa"/>
            <w:gridSpan w:val="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27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第二十条第（五）项</w:t>
            </w:r>
          </w:p>
        </w:tc>
      </w:tr>
      <w:tr w14:paraId="1A2EC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A6D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6360" w:type="dxa"/>
            <w:gridSpan w:val="3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E18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本年处理决定数量</w:t>
            </w:r>
          </w:p>
        </w:tc>
      </w:tr>
      <w:tr w14:paraId="677BA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CB4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行政许可</w:t>
            </w:r>
          </w:p>
        </w:tc>
        <w:tc>
          <w:tcPr>
            <w:tcW w:w="6360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2CF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3762</w:t>
            </w:r>
          </w:p>
        </w:tc>
      </w:tr>
      <w:tr w14:paraId="232D1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80" w:type="dxa"/>
            <w:gridSpan w:val="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7E3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第二十条第（六）项</w:t>
            </w:r>
          </w:p>
        </w:tc>
      </w:tr>
      <w:tr w14:paraId="40F8E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997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6360" w:type="dxa"/>
            <w:gridSpan w:val="3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BDE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本年处理决定数量</w:t>
            </w:r>
          </w:p>
        </w:tc>
      </w:tr>
      <w:tr w14:paraId="2905D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944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行政处罚</w:t>
            </w:r>
          </w:p>
        </w:tc>
        <w:tc>
          <w:tcPr>
            <w:tcW w:w="6360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7C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2FA65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51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行政强制</w:t>
            </w:r>
          </w:p>
        </w:tc>
        <w:tc>
          <w:tcPr>
            <w:tcW w:w="6360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F1D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06D25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80" w:type="dxa"/>
            <w:gridSpan w:val="4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66D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第二十条第（八）项</w:t>
            </w:r>
          </w:p>
        </w:tc>
      </w:tr>
      <w:tr w14:paraId="5FA96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161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6360" w:type="dxa"/>
            <w:gridSpan w:val="3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A07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本年收费金额（单位：万元）</w:t>
            </w:r>
          </w:p>
        </w:tc>
      </w:tr>
      <w:tr w14:paraId="5F023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08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B04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2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行政事业性收费</w:t>
            </w:r>
          </w:p>
        </w:tc>
        <w:tc>
          <w:tcPr>
            <w:tcW w:w="6360" w:type="dxa"/>
            <w:gridSpan w:val="3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985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</w:tbl>
    <w:p w14:paraId="2687936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75" w:afterAutospacing="0" w:line="555" w:lineRule="atLeast"/>
        <w:ind w:left="0" w:right="0" w:firstLine="0"/>
      </w:pPr>
      <w:r>
        <w:rPr>
          <w:rStyle w:val="5"/>
          <w:rFonts w:hint="eastAsia" w:ascii="仿宋" w:hAnsi="仿宋" w:eastAsia="仿宋" w:cs="仿宋"/>
          <w:color w:val="333333"/>
          <w:sz w:val="31"/>
          <w:szCs w:val="31"/>
          <w:shd w:val="clear" w:fill="FFFFFF"/>
        </w:rPr>
        <w:br w:type="textWrapping"/>
      </w:r>
      <w:r>
        <w:rPr>
          <w:rStyle w:val="5"/>
          <w:rFonts w:hint="eastAsia" w:ascii="仿宋" w:hAnsi="仿宋" w:eastAsia="仿宋" w:cs="仿宋"/>
          <w:color w:val="333333"/>
          <w:sz w:val="31"/>
          <w:szCs w:val="31"/>
          <w:shd w:val="clear" w:fill="FFFFFF"/>
        </w:rPr>
        <w:t>  三、收到和处理政府信息公开申请情况</w:t>
      </w:r>
      <w:r>
        <w:rPr>
          <w:rStyle w:val="5"/>
          <w:rFonts w:hint="eastAsia" w:ascii="仿宋" w:hAnsi="仿宋" w:eastAsia="仿宋" w:cs="仿宋"/>
          <w:sz w:val="31"/>
          <w:szCs w:val="31"/>
        </w:rPr>
        <w:t>  </w:t>
      </w:r>
      <w:r>
        <w:rPr>
          <w:rFonts w:hint="eastAsia" w:ascii="仿宋" w:hAnsi="仿宋" w:eastAsia="仿宋" w:cs="仿宋"/>
          <w:sz w:val="31"/>
          <w:szCs w:val="31"/>
        </w:rPr>
        <w:t> </w:t>
      </w:r>
      <w:r>
        <w:rPr>
          <w:rFonts w:hint="default" w:ascii="Calibri" w:hAnsi="Calibri" w:cs="Calibri"/>
          <w:sz w:val="24"/>
          <w:szCs w:val="24"/>
        </w:rPr>
        <w:t>                                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5"/>
        <w:gridCol w:w="789"/>
        <w:gridCol w:w="2644"/>
        <w:gridCol w:w="467"/>
        <w:gridCol w:w="467"/>
        <w:gridCol w:w="689"/>
        <w:gridCol w:w="467"/>
        <w:gridCol w:w="467"/>
        <w:gridCol w:w="593"/>
        <w:gridCol w:w="560"/>
        <w:gridCol w:w="596"/>
      </w:tblGrid>
      <w:tr w14:paraId="1D38F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05" w:type="dxa"/>
            <w:gridSpan w:val="3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F88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4080" w:type="dxa"/>
            <w:gridSpan w:val="8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B9C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申请人情况</w:t>
            </w:r>
          </w:p>
        </w:tc>
      </w:tr>
      <w:tr w14:paraId="296F6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05" w:type="dxa"/>
            <w:gridSpan w:val="3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BF89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0EF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自然人</w:t>
            </w:r>
          </w:p>
        </w:tc>
        <w:tc>
          <w:tcPr>
            <w:tcW w:w="3075" w:type="dxa"/>
            <w:gridSpan w:val="6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987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法人或其他组织</w:t>
            </w:r>
          </w:p>
        </w:tc>
        <w:tc>
          <w:tcPr>
            <w:tcW w:w="195" w:type="dxa"/>
            <w:vMerge w:val="restart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9B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总计</w:t>
            </w:r>
          </w:p>
        </w:tc>
      </w:tr>
      <w:tr w14:paraId="77E08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05" w:type="dxa"/>
            <w:gridSpan w:val="3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7638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F50A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A96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商业</w:t>
            </w:r>
          </w:p>
          <w:p w14:paraId="11342F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企业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D4E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科研</w:t>
            </w:r>
          </w:p>
          <w:p w14:paraId="5253F3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机构</w:t>
            </w:r>
          </w:p>
        </w:tc>
        <w:tc>
          <w:tcPr>
            <w:tcW w:w="49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8B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社会公益组织</w:t>
            </w:r>
          </w:p>
        </w:tc>
        <w:tc>
          <w:tcPr>
            <w:tcW w:w="49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5D4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法律服务机构</w:t>
            </w:r>
          </w:p>
        </w:tc>
        <w:tc>
          <w:tcPr>
            <w:tcW w:w="49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06C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其他</w:t>
            </w:r>
          </w:p>
        </w:tc>
        <w:tc>
          <w:tcPr>
            <w:tcW w:w="49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157F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284F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1597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0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B2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C2A8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D1AD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BFB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  <w:t>49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811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BE7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51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  <w:t>0</w:t>
            </w: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61D4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0"/>
                <w:sz w:val="19"/>
                <w:szCs w:val="19"/>
                <w:lang w:val="en-US" w:eastAsia="zh-CN"/>
              </w:rPr>
              <w:t>49</w:t>
            </w:r>
          </w:p>
        </w:tc>
      </w:tr>
      <w:tr w14:paraId="6C0CE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0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B8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91A3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3CCB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5434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2A3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8437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B3DC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718E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  <w:t>0</w:t>
            </w:r>
          </w:p>
        </w:tc>
      </w:tr>
      <w:tr w14:paraId="381F0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50A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三、本年度办理结果</w:t>
            </w:r>
          </w:p>
        </w:tc>
        <w:tc>
          <w:tcPr>
            <w:tcW w:w="3570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D53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（一）予以公开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F5DD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0B7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815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490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B6E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D5E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195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D603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  <w:t>49</w:t>
            </w:r>
          </w:p>
        </w:tc>
      </w:tr>
      <w:tr w14:paraId="604BB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08A0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287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B176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07F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8DAC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556B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8CB5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79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455A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  <w:t>0</w:t>
            </w:r>
          </w:p>
        </w:tc>
      </w:tr>
      <w:tr w14:paraId="40397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EA4F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16E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（三）不予公开</w:t>
            </w: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9B03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属于国家秘密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505C1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CE6BF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C6419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92506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984AB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11DBE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</w:p>
        </w:tc>
        <w:tc>
          <w:tcPr>
            <w:tcW w:w="195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03E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  <w:rPr>
                <w:rFonts w:hint="eastAsia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spacing w:val="0"/>
                <w:kern w:val="0"/>
                <w:sz w:val="19"/>
                <w:szCs w:val="19"/>
                <w:lang w:val="en-US" w:eastAsia="zh-CN" w:bidi="ar"/>
              </w:rPr>
              <w:t>0</w:t>
            </w:r>
          </w:p>
        </w:tc>
      </w:tr>
      <w:tr w14:paraId="01721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B914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5C46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EF7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其他法律行政法规禁止公开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5886B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A7994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5155B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FB555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EB146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E90D2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646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179D5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2F209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B3F2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B95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3.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危及“三安全一稳定”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F7D33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4B6BE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4AF16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F8C59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DB981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921FD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929A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27248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E10A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B9DB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BA0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4.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保护第三方合法权益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2E16D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B0543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4C44A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0AF3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5195F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F10A2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87EF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41489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196C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60D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D01C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5.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属于三类内部事务信息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38AFA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6E46A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57159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79905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F584D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DD638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A4A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660D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6E6F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0306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0CFC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6.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属于四类过程性信息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87F11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3B482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30197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A0C9D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BF42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7AB78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CB6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169F8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B216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60C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1CEF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7.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属于行政执法案卷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D71CB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49FDB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B36DD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CA99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5A964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2B6C7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D998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7B734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C37E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1FF0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F37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8.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属于行政查询事项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EFCC3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0BD2F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DB3FB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360D4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5CD6C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8808B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0A6F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20827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709A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B24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（四）无法提供</w:t>
            </w: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C21A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本机关不掌握相关政府信息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62396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C9F5F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755CC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86FDC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0B6D2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F297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0FC2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62DAA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FC95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39E6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9AA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没有现成信息需要另行制作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E54A6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E1A00F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05824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7981D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536DF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B739E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3BB8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1FEB3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523E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46CE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1A05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3.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补正后申请内容仍不明确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C43DC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C18C2A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23A3A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47BA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51E94F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034F8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FC9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37E27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2DB1D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8BB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（五）不予处理</w:t>
            </w: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608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信访举报投诉类申请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6ACC1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8F6F3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5395E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75AC29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29FBB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35DDA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83E0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719E4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59EA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A5C0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9C34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重复申请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58421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E032A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A7973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73438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921D7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A1566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A01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01FE3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F24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9C2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CBD5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3.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要求提供公开出版物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B82BC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D0225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10517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9E4F8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09028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6966F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4F8A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54BDA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7656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392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C5A1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4.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无正当理由大量反复申请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71519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19CA3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8341D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0BEF7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44007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AA78F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441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2361C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1E1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3F15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FF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5.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要求行政机关确认或重新出具已获取信息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D329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DC1B3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13876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A9440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B4D696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31FB5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AA04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3C039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0AA5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restart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424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（六）其他处理</w:t>
            </w: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DFA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1.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申请人无正当理由逾期不补正、行政机关不再处理其政府信息公开申请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328E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9F24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76B8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808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49CF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7AF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988E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7ED89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E43D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8D4E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D64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2.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申请人逾期未按收费通知要求缴纳费用、行政机关不再处理其政府信息公开申请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5726D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268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773B4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1AE7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F07C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1D92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56B5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7F7EC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FC99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95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40EA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C2B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3.</w:t>
            </w:r>
            <w:r>
              <w:rPr>
                <w:rStyle w:val="5"/>
                <w:rFonts w:hint="eastAsia" w:ascii="宋体" w:hAnsi="宋体" w:eastAsia="宋体" w:cs="宋体"/>
                <w:color w:val="333333"/>
                <w:sz w:val="24"/>
                <w:szCs w:val="24"/>
              </w:rPr>
              <w:t>其他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B66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4D5C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43BB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58DA1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28C47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EB4DC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FB11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  <w:tr w14:paraId="40CC4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431D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5A8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（七）总计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C925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E4EA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16D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0FB2D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A76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DC9A2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519F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  0</w:t>
            </w:r>
          </w:p>
        </w:tc>
      </w:tr>
      <w:tr w14:paraId="30F6D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305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5DF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四、结转下年度继续办理</w:t>
            </w: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CE79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2AA70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A2DB5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7C803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3A9F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49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6FB9B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95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723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 w:firstLine="480"/>
              <w:jc w:val="both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</w:tbl>
    <w:p w14:paraId="7B5601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/>
        <w:jc w:val="both"/>
      </w:pPr>
      <w:r>
        <w:rPr>
          <w:rStyle w:val="5"/>
          <w:rFonts w:hint="eastAsia" w:ascii="宋体" w:hAnsi="宋体" w:eastAsia="宋体" w:cs="宋体"/>
          <w:color w:val="333333"/>
          <w:spacing w:val="0"/>
          <w:sz w:val="24"/>
          <w:szCs w:val="24"/>
          <w:shd w:val="clear" w:fill="FFFFFF"/>
        </w:rPr>
        <w:t> </w:t>
      </w:r>
    </w:p>
    <w:p w14:paraId="1A4990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/>
        <w:textAlignment w:val="baseline"/>
      </w:pPr>
      <w:r>
        <w:rPr>
          <w:rStyle w:val="5"/>
          <w:rFonts w:hint="eastAsia" w:ascii="仿宋" w:hAnsi="仿宋" w:eastAsia="仿宋" w:cs="仿宋"/>
          <w:color w:val="333333"/>
          <w:spacing w:val="0"/>
          <w:sz w:val="31"/>
          <w:szCs w:val="31"/>
          <w:shd w:val="clear" w:fill="FFFFFF"/>
          <w:vertAlign w:val="baseline"/>
        </w:rPr>
        <w:t>四、政府信息公开行政复议、行政诉讼情况</w:t>
      </w:r>
      <w:r>
        <w:rPr>
          <w:rFonts w:hint="eastAsia" w:ascii="宋体" w:hAnsi="宋体" w:eastAsia="宋体" w:cs="宋体"/>
          <w:sz w:val="31"/>
          <w:szCs w:val="31"/>
          <w:shd w:val="clear" w:fill="FFFFFF"/>
          <w:vertAlign w:val="baseline"/>
        </w:rPr>
        <w:t>   </w:t>
      </w:r>
      <w:r>
        <w:rPr>
          <w:rFonts w:hint="default" w:ascii="Calibri" w:hAnsi="Calibri" w:cs="Calibri"/>
          <w:sz w:val="31"/>
          <w:szCs w:val="31"/>
          <w:shd w:val="clear" w:fill="FFFFFF"/>
          <w:vertAlign w:val="baseline"/>
        </w:rPr>
        <w:t>          </w:t>
      </w:r>
    </w:p>
    <w:p w14:paraId="4D89129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/>
        <w:textAlignment w:val="baseline"/>
      </w:pPr>
      <w:r>
        <w:rPr>
          <w:rFonts w:hint="default" w:ascii="Calibri" w:hAnsi="Calibri" w:cs="Calibri"/>
          <w:sz w:val="31"/>
          <w:szCs w:val="31"/>
          <w:shd w:val="clear" w:fill="FFFFFF"/>
          <w:vertAlign w:val="baseline"/>
        </w:rPr>
        <w:t> 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2022年度，我局没有因政府信息公开申请提起相关行政复议和行政诉讼。</w:t>
      </w:r>
    </w:p>
    <w:p w14:paraId="3B05C3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80"/>
        <w:jc w:val="both"/>
      </w:pPr>
      <w:r>
        <w:rPr>
          <w:rFonts w:hint="default" w:ascii="Calibri" w:hAnsi="Calibri" w:cs="Calibri"/>
          <w:sz w:val="24"/>
          <w:szCs w:val="24"/>
          <w:shd w:val="clear" w:fill="FFFFFF"/>
        </w:rPr>
        <w:t> </w:t>
      </w:r>
    </w:p>
    <w:tbl>
      <w:tblPr>
        <w:tblStyle w:val="3"/>
        <w:tblW w:w="97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5"/>
        <w:gridCol w:w="602"/>
        <w:gridCol w:w="602"/>
        <w:gridCol w:w="785"/>
        <w:gridCol w:w="630"/>
        <w:gridCol w:w="668"/>
        <w:gridCol w:w="602"/>
        <w:gridCol w:w="602"/>
        <w:gridCol w:w="602"/>
        <w:gridCol w:w="499"/>
        <w:gridCol w:w="563"/>
        <w:gridCol w:w="981"/>
        <w:gridCol w:w="602"/>
        <w:gridCol w:w="603"/>
        <w:gridCol w:w="723"/>
      </w:tblGrid>
      <w:tr w14:paraId="11D36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327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47A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行政复议</w:t>
            </w:r>
          </w:p>
        </w:tc>
        <w:tc>
          <w:tcPr>
            <w:tcW w:w="6445" w:type="dxa"/>
            <w:gridSpan w:val="10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11DA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行政诉讼</w:t>
            </w:r>
          </w:p>
        </w:tc>
      </w:tr>
      <w:tr w14:paraId="2B559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</w:trPr>
        <w:tc>
          <w:tcPr>
            <w:tcW w:w="655" w:type="dxa"/>
            <w:vMerge w:val="restart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B8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vMerge w:val="restart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FC6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结果纠正</w:t>
            </w:r>
          </w:p>
        </w:tc>
        <w:tc>
          <w:tcPr>
            <w:tcW w:w="602" w:type="dxa"/>
            <w:vMerge w:val="restart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C7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其他结果</w:t>
            </w:r>
          </w:p>
        </w:tc>
        <w:tc>
          <w:tcPr>
            <w:tcW w:w="785" w:type="dxa"/>
            <w:vMerge w:val="restart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E6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尚未审结</w:t>
            </w:r>
          </w:p>
        </w:tc>
        <w:tc>
          <w:tcPr>
            <w:tcW w:w="630" w:type="dxa"/>
            <w:vMerge w:val="restart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7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总计</w:t>
            </w:r>
          </w:p>
        </w:tc>
        <w:tc>
          <w:tcPr>
            <w:tcW w:w="2973" w:type="dxa"/>
            <w:gridSpan w:val="5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06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未经复议直接起诉</w:t>
            </w:r>
          </w:p>
        </w:tc>
        <w:tc>
          <w:tcPr>
            <w:tcW w:w="3472" w:type="dxa"/>
            <w:gridSpan w:val="5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611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复议后起诉</w:t>
            </w:r>
          </w:p>
        </w:tc>
      </w:tr>
      <w:tr w14:paraId="38A41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2" w:hRule="atLeast"/>
        </w:trPr>
        <w:tc>
          <w:tcPr>
            <w:tcW w:w="655" w:type="dxa"/>
            <w:vMerge w:val="continue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986D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DE6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02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9FAE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85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8B1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0" w:type="dxa"/>
            <w:vMerge w:val="continue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8EAF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3A9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结果维持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F86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结果纠正</w:t>
            </w:r>
          </w:p>
        </w:tc>
        <w:tc>
          <w:tcPr>
            <w:tcW w:w="602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6D0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其他结果</w:t>
            </w:r>
          </w:p>
        </w:tc>
        <w:tc>
          <w:tcPr>
            <w:tcW w:w="602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C4B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尚未审结</w:t>
            </w:r>
          </w:p>
        </w:tc>
        <w:tc>
          <w:tcPr>
            <w:tcW w:w="499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889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总计</w:t>
            </w:r>
          </w:p>
        </w:tc>
        <w:tc>
          <w:tcPr>
            <w:tcW w:w="563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F3D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结果</w:t>
            </w:r>
          </w:p>
          <w:p w14:paraId="337742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维持</w:t>
            </w:r>
          </w:p>
        </w:tc>
        <w:tc>
          <w:tcPr>
            <w:tcW w:w="98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DAF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结果纠正</w:t>
            </w:r>
          </w:p>
        </w:tc>
        <w:tc>
          <w:tcPr>
            <w:tcW w:w="602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E54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其他结果</w:t>
            </w:r>
          </w:p>
        </w:tc>
        <w:tc>
          <w:tcPr>
            <w:tcW w:w="603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3E8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尚未审结</w:t>
            </w:r>
          </w:p>
        </w:tc>
        <w:tc>
          <w:tcPr>
            <w:tcW w:w="723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D36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both"/>
            </w:pPr>
            <w:r>
              <w:rPr>
                <w:rStyle w:val="5"/>
                <w:rFonts w:hint="eastAsia" w:ascii="宋体" w:hAnsi="宋体" w:eastAsia="宋体" w:cs="宋体"/>
                <w:color w:val="333333"/>
                <w:spacing w:val="0"/>
                <w:sz w:val="24"/>
                <w:szCs w:val="24"/>
              </w:rPr>
              <w:t>总计</w:t>
            </w:r>
          </w:p>
        </w:tc>
      </w:tr>
      <w:tr w14:paraId="2AC2F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2" w:hRule="atLeast"/>
        </w:trPr>
        <w:tc>
          <w:tcPr>
            <w:tcW w:w="655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790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6DC5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600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785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C75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8F8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68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47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92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60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A0F2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8A5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56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82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98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8E7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55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60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E0A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  <w:tc>
          <w:tcPr>
            <w:tcW w:w="723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41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55" w:lineRule="atLeast"/>
              <w:ind w:left="0" w:right="0"/>
              <w:jc w:val="center"/>
            </w:pPr>
            <w:r>
              <w:rPr>
                <w:rFonts w:hint="default" w:ascii="Calibri" w:hAnsi="Calibri" w:eastAsia="宋体" w:cs="Calibri"/>
                <w:spacing w:val="0"/>
                <w:sz w:val="19"/>
                <w:szCs w:val="19"/>
              </w:rPr>
              <w:t>0</w:t>
            </w:r>
          </w:p>
        </w:tc>
      </w:tr>
    </w:tbl>
    <w:p w14:paraId="3EE5C07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textAlignment w:val="baseline"/>
      </w:pPr>
      <w:r>
        <w:rPr>
          <w:rFonts w:ascii="黑体" w:hAnsi="宋体" w:eastAsia="黑体" w:cs="黑体"/>
          <w:color w:val="333333"/>
          <w:spacing w:val="0"/>
          <w:sz w:val="27"/>
          <w:szCs w:val="27"/>
          <w:shd w:val="clear" w:fill="FFFFFF"/>
          <w:vertAlign w:val="baseline"/>
        </w:rPr>
        <w:t> </w:t>
      </w:r>
    </w:p>
    <w:p w14:paraId="7AE8D08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Style w:val="5"/>
          <w:rFonts w:hint="eastAsia" w:ascii="仿宋" w:hAnsi="仿宋" w:eastAsia="仿宋" w:cs="仿宋"/>
          <w:color w:val="333333"/>
          <w:spacing w:val="0"/>
          <w:sz w:val="31"/>
          <w:szCs w:val="31"/>
          <w:shd w:val="clear" w:fill="FFFFFF"/>
          <w:vertAlign w:val="baseline"/>
        </w:rPr>
        <w:t>五、存在的主要问题及改进情况</w:t>
      </w:r>
    </w:p>
    <w:p w14:paraId="3279C9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(一)主要问题</w:t>
      </w:r>
    </w:p>
    <w:p w14:paraId="0252AE6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宋体" w:hAnsi="宋体" w:eastAsia="宋体" w:cs="宋体"/>
          <w:color w:val="333333"/>
          <w:spacing w:val="0"/>
          <w:sz w:val="31"/>
          <w:szCs w:val="31"/>
          <w:shd w:val="clear" w:fill="FFFFFF"/>
          <w:vertAlign w:val="baseline"/>
        </w:rPr>
        <w:t> 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信息公开和更新不够及时，时效性有待提高，信息公开范围不够广泛、公开形式不够丰富。</w:t>
      </w:r>
    </w:p>
    <w:p w14:paraId="0F780A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Fonts w:hint="eastAsia" w:ascii="楷体" w:hAnsi="楷体" w:eastAsia="楷体" w:cs="楷体"/>
          <w:color w:val="333333"/>
          <w:spacing w:val="0"/>
          <w:sz w:val="31"/>
          <w:szCs w:val="31"/>
          <w:shd w:val="clear" w:fill="FFFFFF"/>
          <w:vertAlign w:val="baseline"/>
        </w:rPr>
        <w:t>(二)改进措施</w:t>
      </w:r>
    </w:p>
    <w:p w14:paraId="2E3DD34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 202</w:t>
      </w:r>
      <w:r>
        <w:rPr>
          <w:rFonts w:hint="eastAsia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  <w:lang w:val="en-US" w:eastAsia="zh-CN"/>
        </w:rPr>
        <w:t>5</w:t>
      </w: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年，我局严格按照国务院办公厅和自治区有关政务信息公开工作的要求，统一安排部署，创新工作方式，优化工作流程，完善运行机制，重点做好以下工作。</w:t>
      </w:r>
    </w:p>
    <w:p w14:paraId="768B387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一是不断完善政府信息公开的内容，及时更新政府信息，主动及时向社会公开可以公开的信息，以确保政府信息公开的完整性、全面性和及时性。</w:t>
      </w:r>
    </w:p>
    <w:p w14:paraId="4E3CA5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420"/>
        <w:jc w:val="both"/>
        <w:textAlignment w:val="baseline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  <w:vertAlign w:val="baseline"/>
        </w:rPr>
        <w:t>二是不断拓展信息公开途径，丰富公开形式，特别是进一步公开信息公开流程，拓宽公开渠道，确保操作简便明了，利于查找。</w:t>
      </w:r>
    </w:p>
    <w:p w14:paraId="0EA22EC5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</w:pPr>
      <w:r>
        <w:rPr>
          <w:rFonts w:hint="default" w:ascii="仿宋_GB2312" w:eastAsia="仿宋_GB2312" w:cs="仿宋_GB2312"/>
          <w:color w:val="333333"/>
          <w:spacing w:val="0"/>
          <w:sz w:val="31"/>
          <w:szCs w:val="31"/>
          <w:shd w:val="clear" w:fill="FFFFFF"/>
        </w:rPr>
        <w:t>三是完善信息公开监督、评议制度，将评议监督工作常规化、日常化，并主动听取社会各界对我局政府信息公开工作的意见和建议，充分发挥人民群众和新闻舆论的监督作用，不断改进工作。</w:t>
      </w:r>
    </w:p>
    <w:p w14:paraId="2090C59C">
      <w:pPr>
        <w:pStyle w:val="2"/>
        <w:keepNext w:val="0"/>
        <w:keepLines w:val="0"/>
        <w:widowControl/>
        <w:suppressLineNumbers w:val="0"/>
        <w:spacing w:before="75" w:beforeAutospacing="0" w:after="75" w:afterAutospacing="0"/>
        <w:ind w:left="0" w:right="0"/>
      </w:pPr>
    </w:p>
    <w:p w14:paraId="2859B4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402320"/>
    <w:rsid w:val="2F1D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2171</Words>
  <Characters>2328</Characters>
  <Lines>0</Lines>
  <Paragraphs>0</Paragraphs>
  <TotalTime>171</TotalTime>
  <ScaleCrop>false</ScaleCrop>
  <LinksUpToDate>false</LinksUpToDate>
  <CharactersWithSpaces>2359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2025-01-16T08:15:00Z</dcterms:created>
  <dc:creator>Administrator</dc:creator>
  <cp:lastModifiedBy>sea of tears</cp:lastModifiedBy>
  <cp:lastPrinted>2025-01-21T09:09:29Z</cp:lastPrinted>
  <dcterms:modified xsi:type="dcterms:W3CDTF">2025-01-22T07:43:47Z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eyJoZGlkIjoiYzhhM2JhZmFkYmRlYzRjZDg0NWFlNjExODNhYzRmZjIiLCJ1c2VySWQiOiI1NzQzODA2ODAifQ==</vt:lpwstr>
  </property>
  <property fmtid="{D5CDD505-2E9C-101B-9397-08002B2CF9AE}" pid="4" name="ICV">
    <vt:lpwstr>E384217C514E4D2782BA03EBD706DDBD_12</vt:lpwstr>
  </property>
</Properties>
</file>